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D56A" w14:textId="77777777" w:rsidR="0047218E" w:rsidRDefault="00A95991">
      <w:pPr>
        <w:spacing w:after="240" w:line="240" w:lineRule="auto"/>
        <w:jc w:val="center"/>
        <w:rPr>
          <w:b/>
          <w:sz w:val="22"/>
          <w:lang w:val="it-IT"/>
        </w:rPr>
      </w:pPr>
      <w:r w:rsidRPr="00445B4D">
        <w:rPr>
          <w:b/>
          <w:sz w:val="22"/>
          <w:lang w:val="it-IT"/>
        </w:rPr>
        <w:t>COMUNICATO STAMPA</w:t>
      </w:r>
    </w:p>
    <w:p w14:paraId="335015EE" w14:textId="77777777" w:rsidR="00C92E3D" w:rsidRPr="00445B4D" w:rsidRDefault="00C92E3D">
      <w:pPr>
        <w:spacing w:after="240" w:line="240" w:lineRule="auto"/>
        <w:jc w:val="center"/>
        <w:rPr>
          <w:lang w:val="it-IT"/>
        </w:rPr>
      </w:pPr>
    </w:p>
    <w:p w14:paraId="22661DCF" w14:textId="7021D0BE" w:rsidR="00C92E3D" w:rsidRDefault="00C92E3D" w:rsidP="00C92E3D">
      <w:pPr>
        <w:spacing w:after="80" w:line="240" w:lineRule="auto"/>
        <w:jc w:val="both"/>
        <w:rPr>
          <w:b/>
          <w:bCs/>
          <w:lang w:val="it-IT"/>
        </w:rPr>
      </w:pPr>
      <w:r w:rsidRPr="00C92E3D">
        <w:rPr>
          <w:b/>
          <w:bCs/>
          <w:lang w:val="it-IT"/>
        </w:rPr>
        <w:t xml:space="preserve">IL TRIBUNALE DI CAGLIARI PROROGA LE MISURE PROTETTIVE </w:t>
      </w:r>
      <w:r>
        <w:rPr>
          <w:b/>
          <w:bCs/>
          <w:lang w:val="it-IT"/>
        </w:rPr>
        <w:t>E AUTORIZZA LA CESSIONE DEL RAMO B2B DI GO INTERNET A DHH NELL'AMBITO DELLA COMPOSIZIONE NEGOZIATA DELLA CRISI D'IMPRESA</w:t>
      </w:r>
    </w:p>
    <w:p w14:paraId="5FEB877A" w14:textId="33647FEE" w:rsidR="008F65CC" w:rsidRPr="00C92E3D" w:rsidRDefault="008F65CC" w:rsidP="00C92E3D">
      <w:pPr>
        <w:spacing w:after="80" w:line="240" w:lineRule="auto"/>
        <w:jc w:val="both"/>
        <w:rPr>
          <w:lang w:val="it-IT"/>
        </w:rPr>
      </w:pPr>
      <w:r>
        <w:rPr>
          <w:b/>
          <w:bCs/>
          <w:lang w:val="it-IT"/>
        </w:rPr>
        <w:t>DIMISSIONI SINDACI SUPPLENTI</w:t>
      </w:r>
    </w:p>
    <w:p w14:paraId="42925994" w14:textId="77777777" w:rsidR="00C92E3D" w:rsidRDefault="00C92E3D" w:rsidP="00C92E3D">
      <w:pPr>
        <w:spacing w:after="80" w:line="240" w:lineRule="auto"/>
        <w:jc w:val="both"/>
        <w:rPr>
          <w:b/>
          <w:bCs/>
          <w:lang w:val="it-IT"/>
        </w:rPr>
      </w:pPr>
    </w:p>
    <w:p w14:paraId="03835245" w14:textId="684123A3" w:rsidR="00C92E3D" w:rsidRPr="00C92E3D" w:rsidRDefault="00C92E3D" w:rsidP="00C92E3D">
      <w:pPr>
        <w:spacing w:after="80" w:line="240" w:lineRule="auto"/>
        <w:jc w:val="both"/>
        <w:rPr>
          <w:lang w:val="it-IT"/>
        </w:rPr>
      </w:pPr>
      <w:r w:rsidRPr="00C92E3D">
        <w:rPr>
          <w:b/>
          <w:bCs/>
          <w:lang w:val="it-IT"/>
        </w:rPr>
        <w:t xml:space="preserve">Cagliari, </w:t>
      </w:r>
      <w:r>
        <w:rPr>
          <w:b/>
          <w:bCs/>
          <w:lang w:val="it-IT"/>
        </w:rPr>
        <w:t>14</w:t>
      </w:r>
      <w:r w:rsidRPr="00C92E3D">
        <w:rPr>
          <w:b/>
          <w:bCs/>
          <w:lang w:val="it-IT"/>
        </w:rPr>
        <w:t xml:space="preserve"> luglio 2026 – </w:t>
      </w:r>
      <w:r w:rsidRPr="00C92E3D">
        <w:rPr>
          <w:lang w:val="it-IT"/>
        </w:rPr>
        <w:t>Tessellis S.p.A. (la “</w:t>
      </w:r>
      <w:r w:rsidRPr="00C92E3D">
        <w:rPr>
          <w:b/>
          <w:bCs/>
          <w:lang w:val="it-IT"/>
        </w:rPr>
        <w:t>Società</w:t>
      </w:r>
      <w:r w:rsidRPr="00C92E3D">
        <w:rPr>
          <w:lang w:val="it-IT"/>
        </w:rPr>
        <w:t>” o “</w:t>
      </w:r>
      <w:r w:rsidRPr="00C92E3D">
        <w:rPr>
          <w:b/>
          <w:bCs/>
          <w:lang w:val="it-IT"/>
        </w:rPr>
        <w:t>Tessellis</w:t>
      </w:r>
      <w:r w:rsidRPr="00C92E3D">
        <w:rPr>
          <w:lang w:val="it-IT"/>
        </w:rPr>
        <w:t xml:space="preserve">”), società quotata su Euronext Milan, facendo seguito ai comunicati diffusi in data 1, 12 e 30 marzo 2026, 8 e 15 aprile 2026, 3, 20, 22 e 29 maggio 2026, 3 giugno 2026 e </w:t>
      </w:r>
      <w:proofErr w:type="gramStart"/>
      <w:r w:rsidRPr="00C92E3D">
        <w:rPr>
          <w:lang w:val="it-IT"/>
        </w:rPr>
        <w:t>1 luglio</w:t>
      </w:r>
      <w:proofErr w:type="gramEnd"/>
      <w:r w:rsidRPr="00C92E3D">
        <w:rPr>
          <w:lang w:val="it-IT"/>
        </w:rPr>
        <w:t xml:space="preserve"> 2026, nonché alle informative mensili diffuse ai sensi dell’art. 114, comma 5, del D.Lgs. n. 58/1998, rende noto quanto segue.</w:t>
      </w:r>
    </w:p>
    <w:p w14:paraId="5FF7C9D3" w14:textId="52A04329" w:rsidR="00C92E3D" w:rsidRPr="00C92E3D" w:rsidRDefault="00C92E3D" w:rsidP="00C92E3D">
      <w:pPr>
        <w:spacing w:after="80" w:line="240" w:lineRule="auto"/>
        <w:jc w:val="both"/>
        <w:rPr>
          <w:lang w:val="it-IT"/>
        </w:rPr>
      </w:pPr>
      <w:r w:rsidRPr="00C92E3D">
        <w:rPr>
          <w:lang w:val="it-IT"/>
        </w:rPr>
        <w:t>Nell’ambito della composizione negoziata della crisi d’impresa di gruppo avviata da Tessellis, Tiscali Italia S.p.A. (“</w:t>
      </w:r>
      <w:r w:rsidRPr="00C92E3D">
        <w:rPr>
          <w:b/>
          <w:bCs/>
          <w:lang w:val="it-IT"/>
        </w:rPr>
        <w:t>Tiscali Italia</w:t>
      </w:r>
      <w:r w:rsidRPr="00C92E3D">
        <w:rPr>
          <w:lang w:val="it-IT"/>
        </w:rPr>
        <w:t>”) e GO Internet S.p.A. (“</w:t>
      </w:r>
      <w:r w:rsidRPr="00C92E3D">
        <w:rPr>
          <w:b/>
          <w:bCs/>
          <w:lang w:val="it-IT"/>
        </w:rPr>
        <w:t>GO Internet</w:t>
      </w:r>
      <w:r w:rsidRPr="00C92E3D">
        <w:rPr>
          <w:lang w:val="it-IT"/>
        </w:rPr>
        <w:t>”) ai sensi degli artt. 12 e ss. del Codice della Crisi d’Impresa e dell’Insolvenza (“</w:t>
      </w:r>
      <w:r w:rsidRPr="00C92E3D">
        <w:rPr>
          <w:b/>
          <w:bCs/>
          <w:lang w:val="it-IT"/>
        </w:rPr>
        <w:t>CCII</w:t>
      </w:r>
      <w:r w:rsidRPr="00C92E3D">
        <w:rPr>
          <w:lang w:val="it-IT"/>
        </w:rPr>
        <w:t>” e, rispettivamente, la “</w:t>
      </w:r>
      <w:r w:rsidRPr="00C92E3D">
        <w:rPr>
          <w:b/>
          <w:bCs/>
          <w:lang w:val="it-IT"/>
        </w:rPr>
        <w:t>Composizione Negoziata</w:t>
      </w:r>
      <w:r w:rsidRPr="00C92E3D">
        <w:rPr>
          <w:lang w:val="it-IT"/>
        </w:rPr>
        <w:t>” o la “</w:t>
      </w:r>
      <w:r w:rsidRPr="00C92E3D">
        <w:rPr>
          <w:b/>
          <w:bCs/>
          <w:lang w:val="it-IT"/>
        </w:rPr>
        <w:t>Procedura</w:t>
      </w:r>
      <w:r w:rsidRPr="00C92E3D">
        <w:rPr>
          <w:lang w:val="it-IT"/>
        </w:rPr>
        <w:t>”), il Tribunale di Cagliari, con decreto del 9 luglio 2026, ha prorogato di 120 giorni le misure protettive già disposte con provvedimento del 14 aprile 2026.</w:t>
      </w:r>
    </w:p>
    <w:p w14:paraId="40069CA9" w14:textId="77777777" w:rsidR="00C92E3D" w:rsidRPr="00C92E3D" w:rsidRDefault="00C92E3D" w:rsidP="00C92E3D">
      <w:pPr>
        <w:spacing w:after="80" w:line="240" w:lineRule="auto"/>
        <w:jc w:val="both"/>
        <w:rPr>
          <w:lang w:val="it-IT"/>
        </w:rPr>
      </w:pPr>
      <w:r w:rsidRPr="00C92E3D">
        <w:rPr>
          <w:lang w:val="it-IT"/>
        </w:rPr>
        <w:t>Si ricorda che le misure protettive e cautelari erano state richieste dalle società interessate del Gruppo Tessellis nell’ambito del percorso di Composizione Negoziata, al fine di preservare la continuità aziendale, favorire il buon esito delle trattative con i creditori e consentire l’ordinata esecuzione delle iniziative di valorizzazione degli asset previste dal progetto di risanamento.</w:t>
      </w:r>
    </w:p>
    <w:p w14:paraId="58B4E6A5" w14:textId="77777777" w:rsidR="00C92E3D" w:rsidRPr="00C92E3D" w:rsidRDefault="00C92E3D" w:rsidP="00C92E3D">
      <w:pPr>
        <w:spacing w:after="80" w:line="240" w:lineRule="auto"/>
        <w:jc w:val="both"/>
        <w:rPr>
          <w:lang w:val="it-IT"/>
        </w:rPr>
      </w:pPr>
      <w:r w:rsidRPr="00C92E3D">
        <w:rPr>
          <w:lang w:val="it-IT"/>
        </w:rPr>
        <w:t>Il provvedimento di proroga è stato emesso a seguito del ricorso depositato dalle società in data 26 giugno 2026 e del parere favorevole reso dall’esperto nominato nell’ambito della Composizione Negoziata, avv. Massimo Zappalà (l’“</w:t>
      </w:r>
      <w:r w:rsidRPr="00C92E3D">
        <w:rPr>
          <w:b/>
          <w:bCs/>
          <w:lang w:val="it-IT"/>
        </w:rPr>
        <w:t>Esperto</w:t>
      </w:r>
      <w:r w:rsidRPr="00C92E3D">
        <w:rPr>
          <w:lang w:val="it-IT"/>
        </w:rPr>
        <w:t>”), nel termine assegnato dal Tribunale.</w:t>
      </w:r>
    </w:p>
    <w:p w14:paraId="2F012D52" w14:textId="77777777" w:rsidR="00C92E3D" w:rsidRPr="00C92E3D" w:rsidRDefault="00C92E3D" w:rsidP="00C92E3D">
      <w:pPr>
        <w:spacing w:after="80" w:line="240" w:lineRule="auto"/>
        <w:jc w:val="both"/>
        <w:rPr>
          <w:lang w:val="it-IT"/>
        </w:rPr>
      </w:pPr>
      <w:r w:rsidRPr="00C92E3D">
        <w:rPr>
          <w:lang w:val="it-IT"/>
        </w:rPr>
        <w:t>Nel proprio decreto, il Tribunale ha richiamato il parere dell’Esperto, il quale ha dato atto dell’andamento delle trattative, della possibilità concreta di risanamento dell’impresa e della funzionalità della proroga al buon esito delle trattative in corso. In particolare, il provvedimento evidenzia che le operazioni di dismissione e valorizzazione degli asset costituiscono l’asse portante del progetto di risanamento e che il venir meno delle misure avrebbe potuto favorire iniziative esecutive individuali non compatibili con il buon esito della ristrutturazione.</w:t>
      </w:r>
    </w:p>
    <w:p w14:paraId="063C6E12" w14:textId="77777777" w:rsidR="00C92E3D" w:rsidRPr="00C92E3D" w:rsidRDefault="00C92E3D" w:rsidP="00C92E3D">
      <w:pPr>
        <w:spacing w:after="80" w:line="240" w:lineRule="auto"/>
        <w:jc w:val="both"/>
        <w:rPr>
          <w:lang w:val="it-IT"/>
        </w:rPr>
      </w:pPr>
      <w:r w:rsidRPr="00C92E3D">
        <w:rPr>
          <w:lang w:val="it-IT"/>
        </w:rPr>
        <w:t xml:space="preserve">La Società prende atto del provvedimento del Tribunale di Cagliari e conferma il proprio impegno a proseguire nel percorso di risanamento intrapreso nell’ambito della Composizione Negoziata, nonché </w:t>
      </w:r>
      <w:proofErr w:type="gramStart"/>
      <w:r w:rsidRPr="00C92E3D">
        <w:rPr>
          <w:lang w:val="it-IT"/>
        </w:rPr>
        <w:t>ad</w:t>
      </w:r>
      <w:proofErr w:type="gramEnd"/>
      <w:r w:rsidRPr="00C92E3D">
        <w:rPr>
          <w:lang w:val="it-IT"/>
        </w:rPr>
        <w:t xml:space="preserve"> adempiere agli obblighi informativi e di </w:t>
      </w:r>
      <w:r w:rsidRPr="00C92E3D">
        <w:rPr>
          <w:i/>
          <w:iCs/>
          <w:lang w:val="it-IT"/>
        </w:rPr>
        <w:t>reporting</w:t>
      </w:r>
      <w:r w:rsidRPr="00C92E3D">
        <w:rPr>
          <w:lang w:val="it-IT"/>
        </w:rPr>
        <w:t xml:space="preserve"> previsti dai provvedimenti giudiziali e dalla normativa applicabile.</w:t>
      </w:r>
    </w:p>
    <w:p w14:paraId="575763BB" w14:textId="72CC6AEC" w:rsidR="00C92E3D" w:rsidRPr="00C92E3D" w:rsidRDefault="00C92E3D" w:rsidP="00C92E3D">
      <w:pPr>
        <w:spacing w:after="80" w:line="240" w:lineRule="auto"/>
        <w:jc w:val="both"/>
        <w:rPr>
          <w:lang w:val="it-IT"/>
        </w:rPr>
      </w:pPr>
      <w:r w:rsidRPr="00C92E3D">
        <w:rPr>
          <w:lang w:val="it-IT"/>
        </w:rPr>
        <w:t>La proroga delle misure protettive si inserisce nel più ampio percorso di continuità aziendale indiretta e di valorizzazione degli asset del Gruppo Tessellis. In tale contesto, si ricorda che, in data 3 giugno 2026, Tessellis, Tiscali Italia e Smeraldo S.p.A., società interamente controllata da Canarbino S.p.A., hanno sottoscritto il contratto di affitto e impegno irrevocabile all’acquisto relativo al ramo d’azienda “</w:t>
      </w:r>
      <w:r w:rsidRPr="00C92E3D">
        <w:rPr>
          <w:i/>
          <w:iCs/>
          <w:lang w:val="it-IT"/>
        </w:rPr>
        <w:t>telco consumer</w:t>
      </w:r>
      <w:r w:rsidRPr="00C92E3D">
        <w:rPr>
          <w:lang w:val="it-IT"/>
        </w:rPr>
        <w:t>” e “</w:t>
      </w:r>
      <w:r w:rsidRPr="00C92E3D">
        <w:rPr>
          <w:i/>
          <w:iCs/>
          <w:lang w:val="it-IT"/>
        </w:rPr>
        <w:t>web-mail</w:t>
      </w:r>
      <w:r w:rsidRPr="00C92E3D">
        <w:rPr>
          <w:lang w:val="it-IT"/>
        </w:rPr>
        <w:t>” di Tiscali Italia, con contestuale concessione in licenza d’uso dei marchi “Tiscali” e “Linkem” di Tessellis. Si ricorda altresì che proseguono le attività relative alla valorizzazione degli ulteriori perimetri e asset del Gruppo, ivi incluso il Perimetro B.1 oggetto dell’offerta presentata da DHH S.p.A., secondo quanto già comunicato al mercato.</w:t>
      </w:r>
    </w:p>
    <w:p w14:paraId="4E99E9CE" w14:textId="77777777" w:rsidR="00D34466" w:rsidRDefault="00217D40">
      <w:pPr>
        <w:spacing w:after="80" w:line="240" w:lineRule="auto"/>
        <w:jc w:val="both"/>
        <w:rPr>
          <w:lang w:val="it-IT"/>
        </w:rPr>
      </w:pPr>
      <w:r>
        <w:rPr>
          <w:lang w:val="it-IT"/>
        </w:rPr>
        <w:t>Inoltre, la Società rende noto che, con decreto del 13 luglio 2026, il Tribunale di Cagliari, ai sensi dell’art. 22, comma 1, lett. d), CCII, ha autorizzato la cessione del Ramo d’Azienda B2B di GO Internet, comprensivo della partecipazione detenuta in X-Stream S.r.l., a DHH S.p.A., esonerando quest’ultima dalla responsabilità solidale di cui all’art. 2560, comma 2, del Codice Civile per i debiti inerenti all’esercizio del ramo ceduto anteriori al trasferimento.</w:t>
      </w:r>
    </w:p>
    <w:p w14:paraId="01AB5AC2" w14:textId="77777777" w:rsidR="00D34466" w:rsidRDefault="00217D40">
      <w:pPr>
        <w:spacing w:after="80" w:line="240" w:lineRule="auto"/>
        <w:jc w:val="both"/>
        <w:rPr>
          <w:lang w:val="it-IT"/>
        </w:rPr>
      </w:pPr>
      <w:r>
        <w:rPr>
          <w:lang w:val="it-IT"/>
        </w:rPr>
        <w:lastRenderedPageBreak/>
        <w:t>Il provvedimento si colloca nell’ambito della più ampia operazione relativa al Perimetro B.1, che comprende altresì la partecipazione detenuta da Tiscali Italia in Aetherna S.r.l., secondo quanto già comunicato al mercato. Il corrispettivo complessivo dell’operazione resta pari a Euro 4.200.000,00, da corrispondersi integralmente all’atto di cessione, secondo la struttura originaria dell’offerta ripristinata da DHH S.p.A.</w:t>
      </w:r>
    </w:p>
    <w:p w14:paraId="25C56C91" w14:textId="77777777" w:rsidR="00D34466" w:rsidRDefault="00217D40">
      <w:pPr>
        <w:spacing w:after="80" w:line="240" w:lineRule="auto"/>
        <w:jc w:val="both"/>
        <w:rPr>
          <w:lang w:val="it-IT"/>
        </w:rPr>
      </w:pPr>
      <w:r>
        <w:rPr>
          <w:lang w:val="it-IT"/>
        </w:rPr>
        <w:t>Nel decreto, il Tribunale ha ritenuto sussistenti i presupposti richiesti dall’art. 22, comma 1, lett. d), CCII e, in particolare, la funzionalità della cessione rispetto alla continuità aziendale, la funzionalità dell’operazione alla migliore soddisfazione dei creditori e il rispetto del principio di competitività nella selezione dell’acquirente. Il perfezionamento dell’operazione resta subordinato all’avveramento o alla rinuncia delle ulteriori condizioni sospensive applicabili, al non dissenso dell’Esperto e alla sottoscrizione della documentazione contrattuale definitiva.</w:t>
      </w:r>
    </w:p>
    <w:p w14:paraId="293B7ADC" w14:textId="4A2C0D8E" w:rsidR="00597E44" w:rsidRDefault="008B6027">
      <w:pPr>
        <w:spacing w:after="80" w:line="240" w:lineRule="auto"/>
        <w:jc w:val="both"/>
        <w:rPr>
          <w:lang w:val="it-IT"/>
        </w:rPr>
      </w:pPr>
      <w:r>
        <w:rPr>
          <w:lang w:val="it-IT"/>
        </w:rPr>
        <w:t>L</w:t>
      </w:r>
      <w:r w:rsidR="00597E44">
        <w:rPr>
          <w:lang w:val="it-IT"/>
        </w:rPr>
        <w:t>e parti hanno</w:t>
      </w:r>
      <w:r>
        <w:rPr>
          <w:lang w:val="it-IT"/>
        </w:rPr>
        <w:t>, poi,</w:t>
      </w:r>
      <w:r w:rsidR="00597E44">
        <w:rPr>
          <w:lang w:val="it-IT"/>
        </w:rPr>
        <w:t xml:space="preserve"> concordato la proroga del termine per l’avveramento delle condizioni sospensive e per il perfezionamento della cessione del Perimetro B.1 dal 15 al 31 luglio 2026.</w:t>
      </w:r>
    </w:p>
    <w:p w14:paraId="21E2B0F9" w14:textId="77777777" w:rsidR="00C92E3D" w:rsidRDefault="00C92E3D" w:rsidP="00C92E3D">
      <w:pPr>
        <w:spacing w:after="80" w:line="240" w:lineRule="auto"/>
        <w:jc w:val="both"/>
        <w:rPr>
          <w:lang w:val="it-IT"/>
        </w:rPr>
      </w:pPr>
      <w:r w:rsidRPr="00C92E3D">
        <w:rPr>
          <w:lang w:val="it-IT"/>
        </w:rPr>
        <w:t>La Società continuerà a informare tempestivamente il mercato in merito a ogni ulteriore sviluppo rilevante relativo alla Composizione Negoziata, alle trattative con i creditori, alle iniziative di valorizzazione degli asset del Gruppo e agli ulteriori procedimenti pendenti ai sensi del CCII, in conformità alla normativa vigente.</w:t>
      </w:r>
    </w:p>
    <w:p w14:paraId="0FFC5C7B" w14:textId="01F5AC8E" w:rsidR="004E0E59" w:rsidRDefault="004E0E59" w:rsidP="00C92E3D">
      <w:pPr>
        <w:spacing w:after="80" w:line="240" w:lineRule="auto"/>
        <w:jc w:val="both"/>
        <w:rPr>
          <w:lang w:val="it-IT"/>
        </w:rPr>
      </w:pPr>
      <w:r w:rsidRPr="004E0E59">
        <w:rPr>
          <w:lang w:val="it-IT"/>
        </w:rPr>
        <w:t xml:space="preserve">Per ogni ulteriore informazione in merito ai termini e alle condizioni dell’operazione si rinvia a quanto indicato nei comunicati stampa del 20 </w:t>
      </w:r>
      <w:r>
        <w:rPr>
          <w:lang w:val="it-IT"/>
        </w:rPr>
        <w:t>e</w:t>
      </w:r>
      <w:r w:rsidRPr="004E0E59">
        <w:rPr>
          <w:lang w:val="it-IT"/>
        </w:rPr>
        <w:t xml:space="preserve"> 22 maggio e del 1° luglio 2026.</w:t>
      </w:r>
    </w:p>
    <w:p w14:paraId="4D167BA5" w14:textId="77777777" w:rsidR="00BA7478" w:rsidRDefault="00BA7478" w:rsidP="00C92E3D">
      <w:pPr>
        <w:spacing w:after="80" w:line="240" w:lineRule="auto"/>
        <w:jc w:val="both"/>
        <w:rPr>
          <w:lang w:val="it-IT"/>
        </w:rPr>
      </w:pPr>
    </w:p>
    <w:p w14:paraId="2093B61E" w14:textId="43C839A4" w:rsidR="008B6027" w:rsidRDefault="008B6027" w:rsidP="00C92E3D">
      <w:pPr>
        <w:spacing w:after="80" w:line="240" w:lineRule="auto"/>
        <w:jc w:val="both"/>
        <w:rPr>
          <w:lang w:val="it-IT"/>
        </w:rPr>
      </w:pPr>
      <w:r>
        <w:rPr>
          <w:lang w:val="it-IT"/>
        </w:rPr>
        <w:t xml:space="preserve">Infine, si informa che in data odierna, </w:t>
      </w:r>
      <w:r>
        <w:rPr>
          <w:lang w:val="it-IT"/>
        </w:rPr>
        <w:t>per motivazioni di carattere personale</w:t>
      </w:r>
      <w:r>
        <w:rPr>
          <w:lang w:val="it-IT"/>
        </w:rPr>
        <w:t>,</w:t>
      </w:r>
      <w:r>
        <w:rPr>
          <w:lang w:val="it-IT"/>
        </w:rPr>
        <w:t xml:space="preserve"> </w:t>
      </w:r>
      <w:r>
        <w:rPr>
          <w:lang w:val="it-IT"/>
        </w:rPr>
        <w:t xml:space="preserve">hanno rassegnato le proprie dimissioni i Sindaci Supplenti Guido Sazbon e Stefania Bettoni, nonché Federica Capoccia, quale membro dell’Organismo di Vigilanza. </w:t>
      </w:r>
      <w:proofErr w:type="spellStart"/>
      <w:r w:rsidR="008A7EBB" w:rsidRPr="008A7EBB">
        <w:t>L'integrazione</w:t>
      </w:r>
      <w:proofErr w:type="spellEnd"/>
      <w:r w:rsidR="008A7EBB" w:rsidRPr="008A7EBB">
        <w:t xml:space="preserve"> del Collegio </w:t>
      </w:r>
      <w:proofErr w:type="spellStart"/>
      <w:r w:rsidR="008A7EBB" w:rsidRPr="008A7EBB">
        <w:t>Sindacale</w:t>
      </w:r>
      <w:proofErr w:type="spellEnd"/>
      <w:r w:rsidR="008A7EBB" w:rsidRPr="008A7EBB">
        <w:t xml:space="preserve">, con la nomina di </w:t>
      </w:r>
      <w:r w:rsidR="008A7EBB">
        <w:t>due</w:t>
      </w:r>
      <w:r w:rsidR="008A7EBB" w:rsidRPr="008A7EBB">
        <w:t xml:space="preserve"> </w:t>
      </w:r>
      <w:proofErr w:type="spellStart"/>
      <w:r w:rsidR="008A7EBB" w:rsidRPr="008A7EBB">
        <w:t>Sindac</w:t>
      </w:r>
      <w:r w:rsidR="008A7EBB">
        <w:t>i</w:t>
      </w:r>
      <w:proofErr w:type="spellEnd"/>
      <w:r w:rsidR="008A7EBB" w:rsidRPr="008A7EBB">
        <w:t xml:space="preserve"> </w:t>
      </w:r>
      <w:proofErr w:type="spellStart"/>
      <w:r w:rsidR="008A7EBB" w:rsidRPr="008A7EBB">
        <w:t>Supplent</w:t>
      </w:r>
      <w:r w:rsidR="008A7EBB">
        <w:t>i</w:t>
      </w:r>
      <w:proofErr w:type="spellEnd"/>
      <w:r w:rsidR="004E0E59">
        <w:t>,</w:t>
      </w:r>
      <w:r w:rsidR="008A7EBB" w:rsidRPr="008A7EBB">
        <w:t xml:space="preserve"> </w:t>
      </w:r>
      <w:proofErr w:type="spellStart"/>
      <w:r w:rsidR="008A7EBB" w:rsidRPr="008A7EBB">
        <w:t>avverrà</w:t>
      </w:r>
      <w:proofErr w:type="spellEnd"/>
      <w:r w:rsidR="008A7EBB" w:rsidRPr="008A7EBB">
        <w:t xml:space="preserve"> in </w:t>
      </w:r>
      <w:proofErr w:type="spellStart"/>
      <w:r w:rsidR="008A7EBB" w:rsidRPr="008A7EBB">
        <w:t>occasione</w:t>
      </w:r>
      <w:proofErr w:type="spellEnd"/>
      <w:r w:rsidR="008A7EBB" w:rsidRPr="008A7EBB">
        <w:t xml:space="preserve"> della pr</w:t>
      </w:r>
      <w:r w:rsidR="008A7EBB">
        <w:t xml:space="preserve">ima </w:t>
      </w:r>
      <w:proofErr w:type="spellStart"/>
      <w:r w:rsidR="008A7EBB" w:rsidRPr="008A7EBB">
        <w:t>Assemblea</w:t>
      </w:r>
      <w:proofErr w:type="spellEnd"/>
      <w:r w:rsidR="008A7EBB" w:rsidRPr="008A7EBB">
        <w:t xml:space="preserve"> degli </w:t>
      </w:r>
      <w:proofErr w:type="spellStart"/>
      <w:r w:rsidR="008A7EBB" w:rsidRPr="008A7EBB">
        <w:t>Azionisti</w:t>
      </w:r>
      <w:proofErr w:type="spellEnd"/>
      <w:r w:rsidR="008A7EBB">
        <w:t xml:space="preserve"> utile</w:t>
      </w:r>
      <w:r w:rsidR="008A7EBB" w:rsidRPr="008A7EBB">
        <w:t xml:space="preserve">, in </w:t>
      </w:r>
      <w:proofErr w:type="spellStart"/>
      <w:r w:rsidR="008A7EBB" w:rsidRPr="008A7EBB">
        <w:t>conformità</w:t>
      </w:r>
      <w:proofErr w:type="spellEnd"/>
      <w:r w:rsidR="008A7EBB" w:rsidRPr="008A7EBB">
        <w:t xml:space="preserve"> al </w:t>
      </w:r>
      <w:proofErr w:type="spellStart"/>
      <w:r w:rsidR="008A7EBB" w:rsidRPr="008A7EBB">
        <w:t>disposto</w:t>
      </w:r>
      <w:proofErr w:type="spellEnd"/>
      <w:r w:rsidR="008A7EBB" w:rsidRPr="008A7EBB">
        <w:t xml:space="preserve"> </w:t>
      </w:r>
      <w:proofErr w:type="spellStart"/>
      <w:r w:rsidR="008A7EBB" w:rsidRPr="008A7EBB">
        <w:t>dell'art</w:t>
      </w:r>
      <w:proofErr w:type="spellEnd"/>
      <w:r w:rsidR="008A7EBB" w:rsidRPr="008A7EBB">
        <w:t xml:space="preserve">. </w:t>
      </w:r>
      <w:r w:rsidR="008A7EBB">
        <w:t>18</w:t>
      </w:r>
      <w:r w:rsidR="008A7EBB" w:rsidRPr="008A7EBB">
        <w:t xml:space="preserve"> </w:t>
      </w:r>
      <w:proofErr w:type="spellStart"/>
      <w:r w:rsidR="008A7EBB" w:rsidRPr="008A7EBB">
        <w:t>dello</w:t>
      </w:r>
      <w:proofErr w:type="spellEnd"/>
      <w:r w:rsidR="008A7EBB" w:rsidRPr="008A7EBB">
        <w:t xml:space="preserve"> Statuto Sociale.</w:t>
      </w:r>
    </w:p>
    <w:p w14:paraId="6053067E" w14:textId="77777777" w:rsidR="008B6027" w:rsidRPr="00C92E3D" w:rsidRDefault="008B6027" w:rsidP="00C92E3D">
      <w:pPr>
        <w:spacing w:after="80" w:line="240" w:lineRule="auto"/>
        <w:jc w:val="both"/>
        <w:rPr>
          <w:lang w:val="it-IT"/>
        </w:rPr>
      </w:pPr>
    </w:p>
    <w:p w14:paraId="10AC1714" w14:textId="77777777" w:rsidR="00C92E3D" w:rsidRPr="00445B4D" w:rsidRDefault="00C92E3D">
      <w:pPr>
        <w:spacing w:after="80" w:line="240" w:lineRule="auto"/>
        <w:jc w:val="both"/>
        <w:rPr>
          <w:lang w:val="it-IT"/>
        </w:rPr>
      </w:pPr>
    </w:p>
    <w:p w14:paraId="4CE7A65D" w14:textId="77777777" w:rsidR="00445B4D" w:rsidRDefault="00445B4D">
      <w:pPr>
        <w:spacing w:after="0" w:line="240" w:lineRule="auto"/>
      </w:pPr>
    </w:p>
    <w:p w14:paraId="327AE063" w14:textId="77777777" w:rsidR="00445B4D" w:rsidRPr="00445B4D" w:rsidRDefault="00445B4D">
      <w:pPr>
        <w:spacing w:after="0" w:line="240" w:lineRule="auto"/>
        <w:rPr>
          <w:lang w:val="it-IT"/>
        </w:rPr>
      </w:pPr>
    </w:p>
    <w:sectPr w:rsidR="00445B4D" w:rsidRPr="00445B4D" w:rsidSect="00160351">
      <w:headerReference w:type="default" r:id="rId8"/>
      <w:pgSz w:w="12240" w:h="15840"/>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0151" w14:textId="77777777" w:rsidR="004A562D" w:rsidRDefault="004A562D">
      <w:pPr>
        <w:spacing w:after="0" w:line="240" w:lineRule="auto"/>
      </w:pPr>
      <w:r>
        <w:separator/>
      </w:r>
    </w:p>
  </w:endnote>
  <w:endnote w:type="continuationSeparator" w:id="0">
    <w:p w14:paraId="564C87B7" w14:textId="77777777" w:rsidR="004A562D" w:rsidRDefault="004A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CE9F" w14:textId="77777777" w:rsidR="004A562D" w:rsidRDefault="004A562D">
      <w:pPr>
        <w:spacing w:after="0" w:line="240" w:lineRule="auto"/>
      </w:pPr>
      <w:r>
        <w:separator/>
      </w:r>
    </w:p>
  </w:footnote>
  <w:footnote w:type="continuationSeparator" w:id="0">
    <w:p w14:paraId="359B7BA4" w14:textId="77777777" w:rsidR="004A562D" w:rsidRDefault="004A5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5281" w14:textId="77777777" w:rsidR="004D2401" w:rsidRDefault="004D2401" w:rsidP="004D2401">
    <w:pPr>
      <w:pStyle w:val="Intestazione"/>
      <w:jc w:val="right"/>
    </w:pPr>
    <w:r>
      <w:rPr>
        <w:noProof/>
      </w:rPr>
      <w:drawing>
        <wp:inline distT="0" distB="0" distL="0" distR="0" wp14:anchorId="5CFD762F" wp14:editId="78AA06CE">
          <wp:extent cx="2102485" cy="493801"/>
          <wp:effectExtent l="0" t="0" r="0" b="1905"/>
          <wp:docPr id="6598314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1470" name="Immagine 659831470"/>
                  <pic:cNvPicPr/>
                </pic:nvPicPr>
                <pic:blipFill>
                  <a:blip r:embed="rId1"/>
                  <a:stretch>
                    <a:fillRect/>
                  </a:stretch>
                </pic:blipFill>
                <pic:spPr>
                  <a:xfrm>
                    <a:off x="0" y="0"/>
                    <a:ext cx="2158870" cy="507044"/>
                  </a:xfrm>
                  <a:prstGeom prst="rect">
                    <a:avLst/>
                  </a:prstGeom>
                </pic:spPr>
              </pic:pic>
            </a:graphicData>
          </a:graphic>
        </wp:inline>
      </w:drawing>
    </w:r>
  </w:p>
  <w:p w14:paraId="69D7E31F" w14:textId="77777777" w:rsidR="00F03566" w:rsidRDefault="00F03566" w:rsidP="004D2401">
    <w:pPr>
      <w:pStyle w:val="Intestazione"/>
      <w:jc w:val="right"/>
    </w:pPr>
  </w:p>
  <w:p w14:paraId="1A310850" w14:textId="77777777" w:rsidR="00F03566" w:rsidRDefault="00F03566" w:rsidP="004D2401">
    <w:pPr>
      <w:pStyle w:val="Intestazione"/>
      <w:jc w:val="right"/>
    </w:pPr>
  </w:p>
  <w:p w14:paraId="661895B0" w14:textId="77777777" w:rsidR="00F03566" w:rsidRDefault="00F03566" w:rsidP="004D2401">
    <w:pPr>
      <w:pStyle w:val="Intestazione"/>
      <w:jc w:val="right"/>
    </w:pPr>
  </w:p>
  <w:p w14:paraId="58337CB8" w14:textId="77777777" w:rsidR="00F03566" w:rsidRDefault="00F03566" w:rsidP="004D2401">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4BF2547"/>
    <w:multiLevelType w:val="hybridMultilevel"/>
    <w:tmpl w:val="C0E21F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75969F5"/>
    <w:multiLevelType w:val="hybridMultilevel"/>
    <w:tmpl w:val="3F3C382C"/>
    <w:lvl w:ilvl="0" w:tplc="2FD45BDA">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0F363A"/>
    <w:multiLevelType w:val="hybridMultilevel"/>
    <w:tmpl w:val="CC9AC326"/>
    <w:lvl w:ilvl="0" w:tplc="50043C6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462FE2"/>
    <w:multiLevelType w:val="hybridMultilevel"/>
    <w:tmpl w:val="4E880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6218196">
    <w:abstractNumId w:val="8"/>
  </w:num>
  <w:num w:numId="2" w16cid:durableId="895434458">
    <w:abstractNumId w:val="6"/>
  </w:num>
  <w:num w:numId="3" w16cid:durableId="1328050310">
    <w:abstractNumId w:val="5"/>
  </w:num>
  <w:num w:numId="4" w16cid:durableId="1820608392">
    <w:abstractNumId w:val="4"/>
  </w:num>
  <w:num w:numId="5" w16cid:durableId="1070495969">
    <w:abstractNumId w:val="7"/>
  </w:num>
  <w:num w:numId="6" w16cid:durableId="1252620540">
    <w:abstractNumId w:val="3"/>
  </w:num>
  <w:num w:numId="7" w16cid:durableId="23219016">
    <w:abstractNumId w:val="2"/>
  </w:num>
  <w:num w:numId="8" w16cid:durableId="452094459">
    <w:abstractNumId w:val="1"/>
  </w:num>
  <w:num w:numId="9" w16cid:durableId="1482193362">
    <w:abstractNumId w:val="0"/>
  </w:num>
  <w:num w:numId="10" w16cid:durableId="221210941">
    <w:abstractNumId w:val="11"/>
  </w:num>
  <w:num w:numId="11" w16cid:durableId="2015063921">
    <w:abstractNumId w:val="10"/>
  </w:num>
  <w:num w:numId="12" w16cid:durableId="126095635">
    <w:abstractNumId w:val="12"/>
  </w:num>
  <w:num w:numId="13" w16cid:durableId="1827669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D7E"/>
    <w:rsid w:val="00034616"/>
    <w:rsid w:val="0006063C"/>
    <w:rsid w:val="000A1813"/>
    <w:rsid w:val="000C7FE5"/>
    <w:rsid w:val="00104B0A"/>
    <w:rsid w:val="0015074B"/>
    <w:rsid w:val="00160351"/>
    <w:rsid w:val="00217D40"/>
    <w:rsid w:val="002338D8"/>
    <w:rsid w:val="00285472"/>
    <w:rsid w:val="0029639D"/>
    <w:rsid w:val="002C25C7"/>
    <w:rsid w:val="00326F90"/>
    <w:rsid w:val="00327E8F"/>
    <w:rsid w:val="00362898"/>
    <w:rsid w:val="003A7ECF"/>
    <w:rsid w:val="003D46C4"/>
    <w:rsid w:val="00445B4D"/>
    <w:rsid w:val="0047218E"/>
    <w:rsid w:val="004A562D"/>
    <w:rsid w:val="004D2401"/>
    <w:rsid w:val="004E0E59"/>
    <w:rsid w:val="005068D3"/>
    <w:rsid w:val="0055505A"/>
    <w:rsid w:val="00560481"/>
    <w:rsid w:val="00593E88"/>
    <w:rsid w:val="00597E44"/>
    <w:rsid w:val="00667CEB"/>
    <w:rsid w:val="00670B52"/>
    <w:rsid w:val="006C1288"/>
    <w:rsid w:val="00713156"/>
    <w:rsid w:val="0073667B"/>
    <w:rsid w:val="007614D7"/>
    <w:rsid w:val="0079035B"/>
    <w:rsid w:val="007B5135"/>
    <w:rsid w:val="007E3AA4"/>
    <w:rsid w:val="008A4EBE"/>
    <w:rsid w:val="008A5A12"/>
    <w:rsid w:val="008A7EBB"/>
    <w:rsid w:val="008B6027"/>
    <w:rsid w:val="008F65CC"/>
    <w:rsid w:val="008F7644"/>
    <w:rsid w:val="00901289"/>
    <w:rsid w:val="00915414"/>
    <w:rsid w:val="00976F48"/>
    <w:rsid w:val="0098202F"/>
    <w:rsid w:val="00990EC2"/>
    <w:rsid w:val="00A266E7"/>
    <w:rsid w:val="00A57AD4"/>
    <w:rsid w:val="00A955C7"/>
    <w:rsid w:val="00A95991"/>
    <w:rsid w:val="00AA1D8D"/>
    <w:rsid w:val="00AB36FC"/>
    <w:rsid w:val="00AC1B38"/>
    <w:rsid w:val="00B47730"/>
    <w:rsid w:val="00B67D28"/>
    <w:rsid w:val="00B74CAA"/>
    <w:rsid w:val="00BA7478"/>
    <w:rsid w:val="00C92E3D"/>
    <w:rsid w:val="00CB0664"/>
    <w:rsid w:val="00CF219C"/>
    <w:rsid w:val="00D116DE"/>
    <w:rsid w:val="00D34466"/>
    <w:rsid w:val="00D3690F"/>
    <w:rsid w:val="00D55744"/>
    <w:rsid w:val="00DB0AD0"/>
    <w:rsid w:val="00E03721"/>
    <w:rsid w:val="00E55B58"/>
    <w:rsid w:val="00EC673C"/>
    <w:rsid w:val="00F0220D"/>
    <w:rsid w:val="00F03566"/>
    <w:rsid w:val="00F318FA"/>
    <w:rsid w:val="00F9664B"/>
    <w:rsid w:val="00FA26A4"/>
    <w:rsid w:val="00FC693F"/>
    <w:rsid w:val="00FF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39BBA"/>
  <w14:defaultImageDpi w14:val="300"/>
  <w15:docId w15:val="{FDAC89D7-349E-4895-B03A-8FA69C47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120" w:line="252" w:lineRule="auto"/>
    </w:pPr>
    <w:rPr>
      <w:rFonts w:ascii="Calibri" w:eastAsia="Calibri" w:hAnsi="Calibri"/>
      <w:sz w:val="21"/>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4D2401"/>
    <w:rPr>
      <w:color w:val="0000FF" w:themeColor="hyperlink"/>
      <w:u w:val="single"/>
    </w:rPr>
  </w:style>
  <w:style w:type="character" w:styleId="Menzionenonrisolta">
    <w:name w:val="Unresolved Mention"/>
    <w:basedOn w:val="Carpredefinitoparagrafo"/>
    <w:uiPriority w:val="99"/>
    <w:semiHidden/>
    <w:unhideWhenUsed/>
    <w:rsid w:val="004D2401"/>
    <w:rPr>
      <w:color w:val="605E5C"/>
      <w:shd w:val="clear" w:color="auto" w:fill="E1DFDD"/>
    </w:rPr>
  </w:style>
  <w:style w:type="paragraph" w:customStyle="1" w:styleId="TitoloComunicato">
    <w:name w:val="Titolo Comunicato"/>
    <w:rsid w:val="006C1288"/>
    <w:pPr>
      <w:spacing w:after="120" w:line="252" w:lineRule="auto"/>
      <w:jc w:val="center"/>
    </w:pPr>
    <w:rPr>
      <w:rFonts w:ascii="Calibri" w:eastAsia="Calibri" w:hAnsi="Calibri"/>
      <w:b/>
      <w:sz w:val="24"/>
    </w:rPr>
  </w:style>
  <w:style w:type="paragraph" w:customStyle="1" w:styleId="SottotitoloComunicato">
    <w:name w:val="Sottotitolo Comunicato"/>
    <w:rsid w:val="006C1288"/>
    <w:pPr>
      <w:spacing w:line="252" w:lineRule="auto"/>
      <w:jc w:val="center"/>
    </w:pPr>
    <w:rPr>
      <w:rFonts w:ascii="Calibri" w:eastAsia="Calibri" w:hAnsi="Calibri"/>
      <w:b/>
    </w:rPr>
  </w:style>
  <w:style w:type="paragraph" w:customStyle="1" w:styleId="SezioneComunicato">
    <w:name w:val="Sezione Comunicato"/>
    <w:rsid w:val="006C1288"/>
    <w:pPr>
      <w:keepNext/>
      <w:spacing w:before="180" w:after="80"/>
    </w:pPr>
    <w:rPr>
      <w:rFonts w:ascii="Calibri" w:eastAsia="Calibri" w:hAnsi="Calibri"/>
      <w:b/>
    </w:rPr>
  </w:style>
  <w:style w:type="paragraph" w:customStyle="1" w:styleId="NotaComunicato">
    <w:name w:val="Nota Comunicato"/>
    <w:rsid w:val="006C1288"/>
    <w:pPr>
      <w:spacing w:after="120" w:line="252" w:lineRule="auto"/>
    </w:pPr>
    <w:rPr>
      <w:rFonts w:ascii="Calibri" w:eastAsia="Calibri" w:hAnsi="Calibri"/>
      <w:i/>
      <w:sz w:val="20"/>
    </w:rPr>
  </w:style>
  <w:style w:type="paragraph" w:styleId="Revisione">
    <w:name w:val="Revision"/>
    <w:hidden/>
    <w:uiPriority w:val="99"/>
    <w:semiHidden/>
    <w:rsid w:val="00362898"/>
    <w:pPr>
      <w:spacing w:after="0" w:line="240" w:lineRule="auto"/>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905</Words>
  <Characters>5164</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Tessellis - Comunicato stampa</dc:subject>
  <dc:creator>Bazuro, Andrea</dc:creator>
  <cp:keywords/>
  <dc:description/>
  <cp:lastModifiedBy>Federica Capoccia</cp:lastModifiedBy>
  <cp:revision>3</cp:revision>
  <dcterms:created xsi:type="dcterms:W3CDTF">2026-07-14T17:52:00Z</dcterms:created>
  <dcterms:modified xsi:type="dcterms:W3CDTF">2026-07-14T17:58:00Z</dcterms:modified>
  <cp:category/>
</cp:coreProperties>
</file>